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A0" w:rsidRPr="007F1C99" w:rsidRDefault="004114A0" w:rsidP="004114A0">
      <w:pPr>
        <w:rPr>
          <w:rFonts w:ascii="黑体" w:eastAsia="黑体" w:hAnsi="黑体" w:cs="宋体"/>
          <w:bCs/>
          <w:sz w:val="32"/>
          <w:szCs w:val="32"/>
        </w:rPr>
      </w:pPr>
      <w:r w:rsidRPr="007F1C99">
        <w:rPr>
          <w:rFonts w:ascii="黑体" w:eastAsia="黑体" w:hAnsi="黑体" w:cs="宋体" w:hint="eastAsia"/>
          <w:bCs/>
          <w:sz w:val="32"/>
          <w:szCs w:val="32"/>
        </w:rPr>
        <w:t>附件</w:t>
      </w:r>
      <w:bookmarkStart w:id="0" w:name="_GoBack"/>
      <w:bookmarkEnd w:id="0"/>
    </w:p>
    <w:p w:rsidR="004114A0" w:rsidRPr="003A2EA3" w:rsidRDefault="004114A0" w:rsidP="004114A0">
      <w:pPr>
        <w:ind w:firstLineChars="350" w:firstLine="1260"/>
        <w:rPr>
          <w:rFonts w:ascii="方正小标宋_GBK" w:eastAsia="方正小标宋_GBK" w:hAnsi="宋体" w:cs="宋体"/>
          <w:bCs/>
          <w:sz w:val="36"/>
          <w:szCs w:val="36"/>
        </w:rPr>
      </w:pPr>
      <w:r w:rsidRPr="003A2EA3">
        <w:rPr>
          <w:rFonts w:ascii="方正小标宋_GBK" w:eastAsia="方正小标宋_GBK" w:hAnsi="宋体" w:cs="宋体" w:hint="eastAsia"/>
          <w:bCs/>
          <w:sz w:val="36"/>
          <w:szCs w:val="36"/>
        </w:rPr>
        <w:t>社会投资简易低风险项目办理流程图</w:t>
      </w:r>
    </w:p>
    <w:tbl>
      <w:tblPr>
        <w:tblpPr w:leftFromText="180" w:rightFromText="180" w:vertAnchor="text" w:horzAnchor="page" w:tblpX="1120" w:tblpY="186"/>
        <w:tblOverlap w:val="never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950"/>
        <w:gridCol w:w="2528"/>
        <w:gridCol w:w="2311"/>
        <w:gridCol w:w="1911"/>
      </w:tblGrid>
      <w:tr w:rsidR="004114A0" w:rsidRPr="009C7813" w:rsidTr="00F81ED9">
        <w:trPr>
          <w:trHeight w:val="1156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申请人</w:t>
            </w:r>
          </w:p>
          <w:p w:rsidR="004114A0" w:rsidRPr="009C7813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办理事项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行政审批局职责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供水报装主要流程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供水企业</w:t>
            </w:r>
          </w:p>
          <w:p w:rsidR="004114A0" w:rsidRPr="009C7813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服务职责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政府外配套</w:t>
            </w:r>
          </w:p>
          <w:p w:rsidR="004114A0" w:rsidRPr="009C7813" w:rsidRDefault="004114A0" w:rsidP="00F81ED9">
            <w:pPr>
              <w:jc w:val="center"/>
              <w:rPr>
                <w:rFonts w:ascii="黑体" w:eastAsia="黑体" w:hAnsi="宋体" w:cs="宋体"/>
                <w:bCs/>
                <w:color w:val="000000" w:themeColor="text1"/>
                <w:sz w:val="24"/>
              </w:rPr>
            </w:pPr>
            <w:r w:rsidRPr="009C7813">
              <w:rPr>
                <w:rFonts w:ascii="黑体" w:eastAsia="黑体" w:hAnsi="宋体" w:cs="宋体" w:hint="eastAsia"/>
                <w:bCs/>
                <w:color w:val="000000" w:themeColor="text1"/>
                <w:sz w:val="24"/>
              </w:rPr>
              <w:t>建设单位职责</w:t>
            </w:r>
          </w:p>
        </w:tc>
      </w:tr>
      <w:tr w:rsidR="004114A0" w:rsidRPr="009C7813" w:rsidTr="00583D47">
        <w:trPr>
          <w:trHeight w:val="1966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dotDotDash" w:sz="18" w:space="0" w:color="auto"/>
              <w:right w:val="single" w:sz="4" w:space="0" w:color="auto"/>
            </w:tcBorders>
            <w:vAlign w:val="center"/>
          </w:tcPr>
          <w:p w:rsidR="004114A0" w:rsidRPr="009C7813" w:rsidRDefault="00600EE2" w:rsidP="00600EE2">
            <w:pPr>
              <w:jc w:val="center"/>
              <w:rPr>
                <w:rFonts w:ascii="宋体" w:hAnsi="宋体" w:cs="仿宋"/>
                <w:color w:val="000000" w:themeColor="text1"/>
                <w:szCs w:val="21"/>
              </w:rPr>
            </w:pPr>
            <w:r w:rsidRPr="009C7813">
              <w:rPr>
                <w:rFonts w:ascii="宋体" w:hAnsi="宋体" w:cs="黑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dotDotDash" w:sz="18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C7813">
              <w:rPr>
                <w:rFonts w:ascii="宋体" w:hAnsi="宋体" w:hint="eastAsia"/>
                <w:color w:val="000000" w:themeColor="text1"/>
                <w:szCs w:val="21"/>
              </w:rPr>
              <w:t>依据“一表申请”将建设项目信息推送给供水企业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dotDotDash" w:sz="18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dotDotDash" w:sz="18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仿宋"/>
                <w:color w:val="000000" w:themeColor="text1"/>
                <w:szCs w:val="21"/>
              </w:rPr>
            </w:pPr>
            <w:r w:rsidRPr="009C7813">
              <w:rPr>
                <w:rFonts w:ascii="宋体" w:hAnsi="宋体" w:cs="仿宋" w:hint="eastAsia"/>
                <w:color w:val="000000" w:themeColor="text1"/>
                <w:szCs w:val="21"/>
              </w:rPr>
              <w:t>接收行政审批局推送信息，将供水服务前置，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提前</w:t>
            </w:r>
            <w:r w:rsidRPr="009C7813">
              <w:rPr>
                <w:rFonts w:ascii="宋体" w:hAnsi="宋体" w:cs="仿宋" w:hint="eastAsia"/>
                <w:color w:val="000000" w:themeColor="text1"/>
                <w:szCs w:val="21"/>
              </w:rPr>
              <w:t>出具供水方案，红线外提供给配建单位，红线内提供给开发企业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dotDotDash" w:sz="18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4114A0" w:rsidRPr="009C7813" w:rsidTr="00583D47">
        <w:trPr>
          <w:trHeight w:val="2266"/>
        </w:trPr>
        <w:tc>
          <w:tcPr>
            <w:tcW w:w="1683" w:type="dxa"/>
            <w:tcBorders>
              <w:top w:val="dotDotDash" w:sz="18" w:space="0" w:color="auto"/>
              <w:left w:val="dotDotDash" w:sz="18" w:space="0" w:color="auto"/>
              <w:bottom w:val="dotDotDash" w:sz="18" w:space="0" w:color="auto"/>
              <w:right w:val="single" w:sz="6" w:space="0" w:color="auto"/>
            </w:tcBorders>
            <w:vAlign w:val="center"/>
          </w:tcPr>
          <w:p w:rsidR="004114A0" w:rsidRPr="009C7813" w:rsidRDefault="004114A0" w:rsidP="00F81ED9">
            <w:pPr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950" w:type="dxa"/>
            <w:tcBorders>
              <w:top w:val="dotDotDash" w:sz="18" w:space="0" w:color="auto"/>
              <w:left w:val="single" w:sz="6" w:space="0" w:color="auto"/>
              <w:bottom w:val="dotDotDash" w:sz="18" w:space="0" w:color="auto"/>
              <w:right w:val="single" w:sz="6" w:space="0" w:color="auto"/>
            </w:tcBorders>
            <w:vAlign w:val="center"/>
          </w:tcPr>
          <w:p w:rsidR="004114A0" w:rsidRPr="009C7813" w:rsidRDefault="004114A0" w:rsidP="00F81ED9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规划、住建、交警、园林等部门</w:t>
            </w:r>
            <w:r w:rsidR="0092377C">
              <w:rPr>
                <w:rFonts w:ascii="宋体" w:hAnsi="宋体" w:cs="仿宋" w:hint="eastAsia"/>
                <w:szCs w:val="21"/>
              </w:rPr>
              <w:t>并联审批办理</w:t>
            </w:r>
            <w:r>
              <w:rPr>
                <w:rFonts w:ascii="宋体" w:hAnsi="宋体" w:cs="黑体" w:hint="eastAsia"/>
                <w:szCs w:val="21"/>
              </w:rPr>
              <w:t>规划、施工、占倔</w:t>
            </w:r>
            <w:r w:rsidRPr="00B43B5B">
              <w:rPr>
                <w:rFonts w:ascii="宋体" w:hAnsi="宋体" w:cs="黑体" w:hint="eastAsia"/>
                <w:szCs w:val="21"/>
              </w:rPr>
              <w:t>路、占绿</w:t>
            </w:r>
            <w:r>
              <w:rPr>
                <w:rFonts w:ascii="宋体" w:hAnsi="宋体" w:cs="黑体" w:hint="eastAsia"/>
                <w:szCs w:val="21"/>
              </w:rPr>
              <w:t>及移树许可</w:t>
            </w:r>
            <w:r w:rsidRPr="00B43B5B">
              <w:rPr>
                <w:rFonts w:ascii="宋体" w:hAnsi="宋体" w:cs="黑体" w:hint="eastAsia"/>
                <w:szCs w:val="21"/>
              </w:rPr>
              <w:t>手续</w:t>
            </w:r>
          </w:p>
        </w:tc>
        <w:tc>
          <w:tcPr>
            <w:tcW w:w="2528" w:type="dxa"/>
            <w:tcBorders>
              <w:top w:val="dotDotDash" w:sz="18" w:space="0" w:color="auto"/>
              <w:left w:val="single" w:sz="6" w:space="0" w:color="auto"/>
              <w:bottom w:val="dotDotDash" w:sz="18" w:space="0" w:color="auto"/>
              <w:right w:val="single" w:sz="6" w:space="0" w:color="auto"/>
            </w:tcBorders>
            <w:vAlign w:val="center"/>
          </w:tcPr>
          <w:p w:rsidR="004114A0" w:rsidRPr="009C7813" w:rsidRDefault="00D30FD2" w:rsidP="00F81ED9">
            <w:pPr>
              <w:jc w:val="center"/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/>
                <w:noProof/>
                <w:color w:val="000000" w:themeColor="text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3.05pt;margin-top:-1.3pt;width:110.2pt;height:89.3pt;z-index:251665408;mso-position-horizontal-relative:text;mso-position-vertical-relative:text" strokeweight="1.25pt">
                  <v:stroke dashstyle="1 1"/>
                  <v:textbox style="mso-next-textbox:#_x0000_s1031">
                    <w:txbxContent>
                      <w:p w:rsidR="004114A0" w:rsidRPr="00B43B5B" w:rsidRDefault="004114A0" w:rsidP="004114A0">
                        <w:pPr>
                          <w:jc w:val="left"/>
                          <w:rPr>
                            <w:rFonts w:ascii="宋体" w:hAnsi="宋体" w:cs="黑体"/>
                            <w:szCs w:val="21"/>
                          </w:rPr>
                        </w:pPr>
                        <w:r w:rsidRPr="00B43B5B">
                          <w:rPr>
                            <w:rFonts w:ascii="宋体" w:hAnsi="宋体" w:cs="黑体" w:hint="eastAsia"/>
                            <w:szCs w:val="21"/>
                          </w:rPr>
                          <w:t>1.设计出图</w:t>
                        </w:r>
                      </w:p>
                      <w:p w:rsidR="004114A0" w:rsidRPr="00B43B5B" w:rsidRDefault="004114A0" w:rsidP="004114A0">
                        <w:pPr>
                          <w:jc w:val="left"/>
                          <w:rPr>
                            <w:rFonts w:ascii="宋体" w:hAnsi="宋体" w:cs="黑体"/>
                            <w:szCs w:val="21"/>
                          </w:rPr>
                        </w:pPr>
                        <w:r>
                          <w:rPr>
                            <w:rFonts w:ascii="宋体" w:hAnsi="宋体" w:cs="黑体"/>
                            <w:szCs w:val="21"/>
                          </w:rPr>
                          <w:t>2.</w:t>
                        </w:r>
                        <w:r w:rsidRPr="00AC75FA">
                          <w:rPr>
                            <w:rFonts w:ascii="宋体" w:hAnsi="宋体" w:cs="仿宋" w:hint="eastAsia"/>
                            <w:bCs/>
                          </w:rPr>
                          <w:t>占路、掘路、占绿手续</w:t>
                        </w:r>
                      </w:p>
                      <w:p w:rsidR="004114A0" w:rsidRPr="00B43B5B" w:rsidRDefault="004114A0" w:rsidP="004114A0">
                        <w:pPr>
                          <w:jc w:val="left"/>
                          <w:rPr>
                            <w:rFonts w:ascii="宋体" w:hAnsi="宋体" w:cs="黑体"/>
                            <w:szCs w:val="21"/>
                          </w:rPr>
                        </w:pPr>
                        <w:r w:rsidRPr="00B43B5B">
                          <w:rPr>
                            <w:rFonts w:ascii="宋体" w:hAnsi="宋体" w:cs="黑体" w:hint="eastAsia"/>
                            <w:szCs w:val="21"/>
                          </w:rPr>
                          <w:t>3.工程施工</w:t>
                        </w:r>
                      </w:p>
                      <w:p w:rsidR="004114A0" w:rsidRPr="00157D46" w:rsidRDefault="004114A0" w:rsidP="004114A0">
                        <w:pPr>
                          <w:jc w:val="left"/>
                          <w:rPr>
                            <w:rFonts w:ascii="宋体" w:hAnsi="宋体" w:cs="黑体"/>
                            <w:szCs w:val="21"/>
                          </w:rPr>
                        </w:pPr>
                        <w:r w:rsidRPr="00B43B5B">
                          <w:rPr>
                            <w:rFonts w:ascii="宋体" w:hAnsi="宋体" w:cs="黑体"/>
                            <w:szCs w:val="21"/>
                          </w:rPr>
                          <w:t>4.</w:t>
                        </w:r>
                        <w:r>
                          <w:rPr>
                            <w:rFonts w:ascii="宋体" w:hAnsi="宋体" w:cs="黑体" w:hint="eastAsia"/>
                            <w:szCs w:val="21"/>
                          </w:rPr>
                          <w:t>工程</w:t>
                        </w:r>
                        <w:r w:rsidRPr="00B43B5B">
                          <w:rPr>
                            <w:rFonts w:ascii="宋体" w:hAnsi="宋体" w:cs="黑体" w:hint="eastAsia"/>
                            <w:szCs w:val="21"/>
                          </w:rPr>
                          <w:t>竣工验收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11" w:type="dxa"/>
            <w:tcBorders>
              <w:top w:val="dotDotDash" w:sz="18" w:space="0" w:color="auto"/>
              <w:left w:val="single" w:sz="6" w:space="0" w:color="auto"/>
              <w:bottom w:val="dotDotDash" w:sz="18" w:space="0" w:color="auto"/>
              <w:right w:val="single" w:sz="6" w:space="0" w:color="auto"/>
            </w:tcBorders>
            <w:vAlign w:val="center"/>
          </w:tcPr>
          <w:p w:rsidR="004114A0" w:rsidRDefault="004114A0" w:rsidP="00F81ED9">
            <w:pPr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1.参与供水设施竣工验收。</w:t>
            </w:r>
          </w:p>
          <w:p w:rsidR="004114A0" w:rsidRPr="009C7813" w:rsidRDefault="004114A0" w:rsidP="00F81ED9">
            <w:pPr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2.负责红线外剩余部分供水设施的配套建设。</w:t>
            </w:r>
          </w:p>
        </w:tc>
        <w:tc>
          <w:tcPr>
            <w:tcW w:w="1911" w:type="dxa"/>
            <w:tcBorders>
              <w:top w:val="dotDotDash" w:sz="18" w:space="0" w:color="auto"/>
              <w:left w:val="single" w:sz="6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4114A0" w:rsidRPr="00C46DF7" w:rsidRDefault="004114A0" w:rsidP="00C46DF7">
            <w:pPr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  <w:r w:rsidRPr="006D70F9">
              <w:rPr>
                <w:rFonts w:ascii="宋体" w:hAnsi="宋体" w:cs="仿宋" w:hint="eastAsia"/>
                <w:color w:val="000000" w:themeColor="text1"/>
                <w:szCs w:val="21"/>
              </w:rPr>
              <w:t>1.配套费使用管理部门（单位）负责完成项目红线外供水设施配套建设</w:t>
            </w:r>
          </w:p>
        </w:tc>
      </w:tr>
      <w:tr w:rsidR="004114A0" w:rsidRPr="009C7813" w:rsidTr="00F81ED9">
        <w:trPr>
          <w:trHeight w:val="1397"/>
        </w:trPr>
        <w:tc>
          <w:tcPr>
            <w:tcW w:w="1683" w:type="dxa"/>
            <w:tcBorders>
              <w:top w:val="dotDotDash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黑体"/>
                <w:color w:val="000000" w:themeColor="text1"/>
                <w:szCs w:val="21"/>
              </w:rPr>
            </w:pPr>
          </w:p>
        </w:tc>
        <w:tc>
          <w:tcPr>
            <w:tcW w:w="1950" w:type="dxa"/>
            <w:tcBorders>
              <w:top w:val="dotDotDash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黑体"/>
                <w:color w:val="000000" w:themeColor="text1"/>
                <w:szCs w:val="21"/>
              </w:rPr>
            </w:pPr>
          </w:p>
        </w:tc>
        <w:tc>
          <w:tcPr>
            <w:tcW w:w="2528" w:type="dxa"/>
            <w:tcBorders>
              <w:top w:val="dotDotDash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D30FD2" w:rsidP="00F81ED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noProof/>
                <w:color w:val="000000" w:themeColor="text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44.55pt;margin-top:72.5pt;width:24.15pt;height:0;rotation:90;z-index:251664384;mso-position-horizontal-relative:text;mso-position-vertical-relative:text" o:gfxdata="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kPRbNUAAAAK&#10;AQAADwAAAAAAAAABACAAAAAiAAAAZHJzL2Rvd25yZXYueG1sUEsBAhQAFAAAAAgAh07iQH3HGJ3m&#10;AQAApQMAAA4AAAAAAAAAAQAgAAAAJAEAAGRycy9lMm9Eb2MueG1sUEsFBgAAAAAGAAYAWQEAAHwF&#10;AAAAAA==&#10;" adj="-263180,-1,-263180">
                  <v:stroke endarrow="open"/>
                </v:shape>
              </w:pict>
            </w:r>
            <w:r>
              <w:rPr>
                <w:rFonts w:ascii="宋体" w:hAnsi="宋体" w:cs="黑体"/>
                <w:noProof/>
                <w:color w:val="000000" w:themeColor="text1"/>
                <w:szCs w:val="21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2" type="#_x0000_t34" style="position:absolute;left:0;text-align:left;margin-left:48.35pt;margin-top:9.7pt;width:17.45pt;height:.2pt;rotation:90;flip:x;z-index:251666432;mso-position-horizontal-relative:text;mso-position-vertical-relative:text" o:gfxdata="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kPRbNUAAAAK&#10;AQAADwAAAAAAAAABACAAAAAiAAAAZHJzL2Rvd25yZXYueG1sUEsBAhQAFAAAAAgAh07iQH3HGJ3m&#10;AQAApQMAAA4AAAAAAAAAAQAgAAAAJAEAAGRycy9lMm9Eb2MueG1sUEsFBgAAAAAGAAYAWQEAAHwF&#10;AAAAAA==&#10;" adj="10769,43059600,-364662">
                  <v:stroke endarrow="open"/>
                </v:shape>
              </w:pict>
            </w:r>
            <w:r>
              <w:rPr>
                <w:rFonts w:ascii="宋体" w:hAnsi="宋体"/>
                <w:color w:val="000000" w:themeColor="text1"/>
                <w:szCs w:val="21"/>
              </w:rPr>
              <w:pict>
                <v:shape id="_x0000_s1027" type="#_x0000_t202" style="position:absolute;left:0;text-align:left;margin-left:2.9pt;margin-top:18.5pt;width:110.2pt;height:41.9pt;z-index:251661312;mso-position-horizontal-relative:text;mso-position-vertical-relative:text" o:gfxdata="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Z4MpNcAAAAIAQAADwAAAAAAAAABACAAAAAiAAAAZHJzL2Rv&#10;d25yZXYueG1sUEsBAhQAFAAAAAgAh07iQOUGPkUCAgAAAgQAAA4AAAAAAAAAAQAgAAAAJgEAAGRy&#10;cy9lMm9Eb2MueG1sUEsFBgAAAAAGAAYAWQEAAJoFAAAAAA==&#10;" strokeweight="2.25pt">
                  <v:textbox style="mso-next-textbox:#_x0000_s1027">
                    <w:txbxContent>
                      <w:p w:rsidR="004114A0" w:rsidRDefault="004114A0" w:rsidP="004114A0">
                        <w:pPr>
                          <w:jc w:val="center"/>
                          <w:rPr>
                            <w:rFonts w:ascii="宋体" w:hAnsi="宋体" w:cs="仿宋"/>
                            <w:b/>
                            <w:bCs/>
                            <w:color w:val="000000" w:themeColor="text1"/>
                          </w:rPr>
                        </w:pPr>
                        <w:r w:rsidRPr="009C7813">
                          <w:rPr>
                            <w:rFonts w:ascii="宋体" w:hAnsi="宋体" w:cs="仿宋" w:hint="eastAsia"/>
                            <w:b/>
                            <w:bCs/>
                            <w:color w:val="000000" w:themeColor="text1"/>
                          </w:rPr>
                          <w:t>开栓通水</w:t>
                        </w:r>
                      </w:p>
                      <w:p w:rsidR="004114A0" w:rsidRPr="00E70279" w:rsidRDefault="004114A0" w:rsidP="004114A0">
                        <w:pPr>
                          <w:jc w:val="center"/>
                          <w:rPr>
                            <w:rFonts w:ascii="宋体" w:hAnsi="宋体" w:cs="仿宋"/>
                            <w:b/>
                            <w:bCs/>
                            <w:color w:val="000000" w:themeColor="text1"/>
                          </w:rPr>
                        </w:pPr>
                        <w:r w:rsidRPr="009C7813">
                          <w:rPr>
                            <w:rFonts w:ascii="宋体" w:hAnsi="宋体" w:cs="仿宋" w:hint="eastAsia"/>
                            <w:b/>
                            <w:bCs/>
                            <w:color w:val="000000" w:themeColor="text1"/>
                          </w:rPr>
                          <w:t>（</w:t>
                        </w:r>
                        <w:r w:rsidRPr="009C7813">
                          <w:rPr>
                            <w:rFonts w:ascii="宋体" w:hAnsi="宋体" w:cs="宋体" w:hint="eastAsia"/>
                            <w:b/>
                            <w:bCs/>
                            <w:color w:val="000000" w:themeColor="text1"/>
                          </w:rPr>
                          <w:t>0.5</w:t>
                        </w:r>
                        <w:r w:rsidRPr="009C7813">
                          <w:rPr>
                            <w:rFonts w:ascii="宋体" w:hAnsi="宋体" w:cs="仿宋" w:hint="eastAsia"/>
                            <w:b/>
                            <w:bCs/>
                            <w:color w:val="000000" w:themeColor="text1"/>
                          </w:rPr>
                          <w:t>个工作日）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11" w:type="dxa"/>
            <w:tcBorders>
              <w:top w:val="dotDotDash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黑体"/>
                <w:color w:val="000000" w:themeColor="text1"/>
                <w:szCs w:val="21"/>
              </w:rPr>
            </w:pPr>
            <w:r w:rsidRPr="009C7813">
              <w:rPr>
                <w:rFonts w:ascii="宋体" w:hAnsi="宋体" w:cs="黑体" w:hint="eastAsia"/>
                <w:color w:val="000000" w:themeColor="text1"/>
                <w:szCs w:val="21"/>
              </w:rPr>
              <w:t>打开阀门通水</w:t>
            </w:r>
          </w:p>
        </w:tc>
        <w:tc>
          <w:tcPr>
            <w:tcW w:w="1911" w:type="dxa"/>
            <w:tcBorders>
              <w:top w:val="dotDotDash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黑体"/>
                <w:color w:val="000000" w:themeColor="text1"/>
                <w:szCs w:val="21"/>
              </w:rPr>
            </w:pPr>
          </w:p>
        </w:tc>
      </w:tr>
      <w:tr w:rsidR="004114A0" w:rsidRPr="009C7813" w:rsidTr="00F81ED9">
        <w:trPr>
          <w:trHeight w:val="1212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黑体"/>
                <w:color w:val="000000" w:themeColor="text1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D30FD2" w:rsidP="00F81ED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>
                <v:shape id="_x0000_s1029" type="#_x0000_t202" style="position:absolute;left:0;text-align:left;margin-left:2.65pt;margin-top:.6pt;width:110.2pt;height:31.75pt;z-index:251663360;mso-position-horizontal-relative:text;mso-position-vertical-relative:text" o:gfxdata="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xFT6dcAAAAIAQAADwAAAAAAAAABACAAAAAiAAAAZHJzL2Rvd25yZXYueG1sUEsB&#10;AhQAFAAAAAgAh07iQLFeoVf2AQAA7AMAAA4AAAAAAAAAAQAgAAAAJgEAAGRycy9lMm9Eb2MueG1s&#10;UEsFBgAAAAAGAAYAWQEAAI4FAAAAAA==&#10;" strokeweight="2.25pt">
                  <v:textbox style="mso-next-textbox:#_x0000_s1029">
                    <w:txbxContent>
                      <w:p w:rsidR="004114A0" w:rsidRPr="009C7813" w:rsidRDefault="004114A0" w:rsidP="004114A0">
                        <w:pPr>
                          <w:spacing w:line="360" w:lineRule="auto"/>
                          <w:jc w:val="center"/>
                          <w:rPr>
                            <w:rFonts w:ascii="宋体" w:hAnsi="宋体" w:cs="仿宋"/>
                            <w:b/>
                            <w:bCs/>
                            <w:color w:val="000000" w:themeColor="text1"/>
                          </w:rPr>
                        </w:pPr>
                        <w:r w:rsidRPr="009C7813">
                          <w:rPr>
                            <w:rFonts w:ascii="宋体" w:hAnsi="宋体" w:cs="仿宋" w:hint="eastAsia"/>
                            <w:b/>
                            <w:bCs/>
                            <w:color w:val="000000" w:themeColor="text1"/>
                          </w:rPr>
                          <w:t>客户回访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黑体"/>
                <w:color w:val="000000" w:themeColor="text1"/>
                <w:szCs w:val="21"/>
              </w:rPr>
            </w:pPr>
            <w:r w:rsidRPr="009C7813">
              <w:rPr>
                <w:rFonts w:ascii="宋体" w:hAnsi="宋体" w:cs="黑体" w:hint="eastAsia"/>
                <w:color w:val="000000" w:themeColor="text1"/>
                <w:szCs w:val="21"/>
              </w:rPr>
              <w:t>客户回访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0" w:rsidRPr="009C7813" w:rsidRDefault="004114A0" w:rsidP="00F81ED9">
            <w:pPr>
              <w:jc w:val="center"/>
              <w:rPr>
                <w:rFonts w:ascii="宋体" w:hAnsi="宋体" w:cs="黑体"/>
                <w:color w:val="000000" w:themeColor="text1"/>
                <w:szCs w:val="21"/>
              </w:rPr>
            </w:pPr>
          </w:p>
        </w:tc>
      </w:tr>
    </w:tbl>
    <w:p w:rsidR="004114A0" w:rsidRDefault="004114A0" w:rsidP="004114A0"/>
    <w:p w:rsidR="004114A0" w:rsidRDefault="004114A0" w:rsidP="004114A0"/>
    <w:p w:rsidR="00540FE6" w:rsidRDefault="00540FE6"/>
    <w:sectPr w:rsidR="00540FE6" w:rsidSect="00E56948">
      <w:footerReference w:type="default" r:id="rId6"/>
      <w:pgSz w:w="11906" w:h="16838"/>
      <w:pgMar w:top="1021" w:right="1418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D2" w:rsidRDefault="00D30FD2" w:rsidP="004114A0">
      <w:r>
        <w:separator/>
      </w:r>
    </w:p>
  </w:endnote>
  <w:endnote w:type="continuationSeparator" w:id="0">
    <w:p w:rsidR="00D30FD2" w:rsidRDefault="00D30FD2" w:rsidP="0041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07" w:rsidRDefault="00225005">
    <w:pPr>
      <w:pStyle w:val="a5"/>
      <w:jc w:val="center"/>
    </w:pPr>
    <w:r>
      <w:rPr>
        <w:noProof/>
        <w:lang w:val="zh-CN"/>
      </w:rPr>
      <w:fldChar w:fldCharType="begin"/>
    </w:r>
    <w:r w:rsidR="00540FE6"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0A041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65C07" w:rsidRDefault="00D30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D2" w:rsidRDefault="00D30FD2" w:rsidP="004114A0">
      <w:r>
        <w:separator/>
      </w:r>
    </w:p>
  </w:footnote>
  <w:footnote w:type="continuationSeparator" w:id="0">
    <w:p w:rsidR="00D30FD2" w:rsidRDefault="00D30FD2" w:rsidP="00411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4A0"/>
    <w:rsid w:val="00052C9F"/>
    <w:rsid w:val="00064FE7"/>
    <w:rsid w:val="000A0417"/>
    <w:rsid w:val="000E65F6"/>
    <w:rsid w:val="001755FE"/>
    <w:rsid w:val="00225005"/>
    <w:rsid w:val="003A2EA3"/>
    <w:rsid w:val="004114A0"/>
    <w:rsid w:val="00430DCA"/>
    <w:rsid w:val="00434E40"/>
    <w:rsid w:val="00435284"/>
    <w:rsid w:val="00540FE6"/>
    <w:rsid w:val="00583D47"/>
    <w:rsid w:val="00600EE2"/>
    <w:rsid w:val="007F1C99"/>
    <w:rsid w:val="008E087C"/>
    <w:rsid w:val="0092377C"/>
    <w:rsid w:val="00B4726C"/>
    <w:rsid w:val="00C072A8"/>
    <w:rsid w:val="00C46DF7"/>
    <w:rsid w:val="00D30FD2"/>
    <w:rsid w:val="00E16137"/>
    <w:rsid w:val="00E7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2"/>
        <o:r id="V:Rule2" type="connector" idref="#_x0000_s1030"/>
      </o:rules>
    </o:shapelayout>
  </w:shapeDefaults>
  <w:decimalSymbol w:val="."/>
  <w:listSeparator w:val=","/>
  <w14:docId w14:val="589BD8AF"/>
  <w15:docId w15:val="{0764FF8E-12AB-44EE-830A-884D9351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1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114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4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2020-09-04T02:49:00Z</dcterms:created>
  <dcterms:modified xsi:type="dcterms:W3CDTF">2020-09-07T08:24:00Z</dcterms:modified>
</cp:coreProperties>
</file>